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E7" w:rsidRPr="00330782" w:rsidRDefault="00C72FE7" w:rsidP="00C72FE7">
      <w:pPr>
        <w:ind w:right="284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C72FE7" w:rsidRPr="00330782" w:rsidRDefault="00C72FE7" w:rsidP="00C72FE7">
      <w:pPr>
        <w:jc w:val="center"/>
        <w:rPr>
          <w:sz w:val="4"/>
          <w:szCs w:val="4"/>
          <w:lang w:val="uk-UA"/>
        </w:rPr>
      </w:pPr>
    </w:p>
    <w:p w:rsidR="00C72FE7" w:rsidRPr="00330782" w:rsidRDefault="00C72FE7" w:rsidP="00C72FE7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C72FE7" w:rsidRPr="00330782" w:rsidRDefault="00C72FE7" w:rsidP="00C72FE7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C72FE7" w:rsidRPr="00330782" w:rsidRDefault="00C72FE7" w:rsidP="00C72FE7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C72FE7" w:rsidRPr="00330782" w:rsidRDefault="00C72FE7" w:rsidP="00C72FE7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C72FE7" w:rsidRPr="00330782" w:rsidRDefault="00B00862" w:rsidP="00C72FE7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>
          <v:group id="_x0000_s1026" style="position:absolute;margin-left:-.1pt;margin-top:5.05pt;width:446.2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C72FE7" w:rsidRPr="000D2405" w:rsidRDefault="00C72FE7" w:rsidP="00C72FE7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E709AF">
        <w:rPr>
          <w:sz w:val="24"/>
          <w:szCs w:val="24"/>
          <w:lang w:val="uk-UA"/>
        </w:rPr>
        <w:t>«</w:t>
      </w:r>
      <w:r w:rsidR="00E709AF">
        <w:rPr>
          <w:sz w:val="24"/>
          <w:szCs w:val="24"/>
          <w:lang w:val="uk-UA"/>
        </w:rPr>
        <w:t>__</w:t>
      </w:r>
      <w:r w:rsidR="000D04C8" w:rsidRPr="000D04C8">
        <w:rPr>
          <w:sz w:val="24"/>
          <w:szCs w:val="24"/>
          <w:u w:val="single"/>
          <w:lang w:val="uk-UA"/>
        </w:rPr>
        <w:t>25</w:t>
      </w:r>
      <w:r w:rsidR="00E709AF">
        <w:rPr>
          <w:sz w:val="24"/>
          <w:szCs w:val="24"/>
          <w:lang w:val="uk-UA"/>
        </w:rPr>
        <w:t>_</w:t>
      </w:r>
      <w:r w:rsidRPr="00E709A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E709AF">
        <w:rPr>
          <w:sz w:val="24"/>
          <w:szCs w:val="24"/>
          <w:lang w:val="uk-UA"/>
        </w:rPr>
        <w:t>___</w:t>
      </w:r>
      <w:r w:rsidR="000D04C8" w:rsidRPr="000D04C8">
        <w:rPr>
          <w:sz w:val="24"/>
          <w:szCs w:val="24"/>
          <w:u w:val="single"/>
          <w:lang w:val="uk-UA"/>
        </w:rPr>
        <w:t>06</w:t>
      </w:r>
      <w:r w:rsidR="00E709AF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20</w:t>
      </w:r>
      <w:r w:rsidR="00E709AF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  №  </w:t>
      </w:r>
      <w:r w:rsidR="00E709AF">
        <w:rPr>
          <w:sz w:val="24"/>
          <w:szCs w:val="24"/>
          <w:lang w:val="uk-UA"/>
        </w:rPr>
        <w:t>_</w:t>
      </w:r>
      <w:r w:rsidR="000D04C8" w:rsidRPr="000D04C8">
        <w:rPr>
          <w:sz w:val="24"/>
          <w:szCs w:val="24"/>
          <w:u w:val="single"/>
          <w:lang w:val="uk-UA"/>
        </w:rPr>
        <w:t>1914</w:t>
      </w:r>
      <w:r w:rsidR="00E709AF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C72FE7" w:rsidRPr="00330782" w:rsidRDefault="000D04C8" w:rsidP="00C72F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Pr="000D04C8">
        <w:rPr>
          <w:sz w:val="24"/>
          <w:szCs w:val="24"/>
          <w:u w:val="single"/>
          <w:lang w:val="uk-UA"/>
        </w:rPr>
        <w:t>64</w:t>
      </w:r>
      <w:r w:rsidR="00E709AF">
        <w:rPr>
          <w:sz w:val="24"/>
          <w:szCs w:val="24"/>
          <w:lang w:val="uk-UA"/>
        </w:rPr>
        <w:t>___</w:t>
      </w:r>
      <w:r w:rsidR="00C72FE7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</w:t>
      </w:r>
      <w:r w:rsidR="00E709AF">
        <w:rPr>
          <w:sz w:val="24"/>
          <w:szCs w:val="24"/>
          <w:lang w:val="uk-UA"/>
        </w:rPr>
        <w:t>_</w:t>
      </w:r>
      <w:r w:rsidRPr="000D04C8">
        <w:rPr>
          <w:sz w:val="24"/>
          <w:szCs w:val="24"/>
          <w:u w:val="single"/>
          <w:lang w:val="uk-UA"/>
        </w:rPr>
        <w:t>VІІ</w:t>
      </w:r>
      <w:r>
        <w:rPr>
          <w:sz w:val="24"/>
          <w:szCs w:val="24"/>
          <w:lang w:val="uk-UA"/>
        </w:rPr>
        <w:t>_</w:t>
      </w:r>
      <w:r w:rsidR="00E709AF">
        <w:rPr>
          <w:sz w:val="24"/>
          <w:szCs w:val="24"/>
          <w:lang w:val="uk-UA"/>
        </w:rPr>
        <w:t>_</w:t>
      </w:r>
      <w:r w:rsidR="00C72FE7">
        <w:rPr>
          <w:sz w:val="24"/>
          <w:szCs w:val="24"/>
          <w:u w:val="single"/>
          <w:lang w:val="uk-UA"/>
        </w:rPr>
        <w:t xml:space="preserve"> </w:t>
      </w:r>
      <w:r w:rsidR="00C72FE7">
        <w:rPr>
          <w:sz w:val="24"/>
          <w:szCs w:val="24"/>
          <w:lang w:val="uk-UA"/>
        </w:rPr>
        <w:t xml:space="preserve">скликання                      </w:t>
      </w:r>
      <w:r w:rsidR="00C72FE7" w:rsidRPr="00330782">
        <w:rPr>
          <w:sz w:val="24"/>
          <w:szCs w:val="24"/>
          <w:lang w:val="uk-UA"/>
        </w:rPr>
        <w:tab/>
      </w:r>
    </w:p>
    <w:p w:rsidR="00C72FE7" w:rsidRPr="00330782" w:rsidRDefault="00C72FE7" w:rsidP="00C72FE7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C72FE7" w:rsidRDefault="00C72FE7" w:rsidP="00C72FE7">
      <w:pPr>
        <w:ind w:right="3967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</w:t>
      </w:r>
      <w:r w:rsidR="00E709AF">
        <w:rPr>
          <w:sz w:val="24"/>
          <w:szCs w:val="24"/>
          <w:lang w:val="uk-UA"/>
        </w:rPr>
        <w:t>1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та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в                          місті Южноукраїнську </w:t>
      </w:r>
    </w:p>
    <w:p w:rsidR="00C72FE7" w:rsidRPr="00FA3354" w:rsidRDefault="00C72FE7" w:rsidP="00C72FE7">
      <w:pPr>
        <w:ind w:right="4677"/>
        <w:jc w:val="both"/>
        <w:rPr>
          <w:sz w:val="12"/>
          <w:szCs w:val="12"/>
          <w:lang w:val="uk-UA"/>
        </w:rPr>
      </w:pPr>
    </w:p>
    <w:p w:rsidR="00C72FE7" w:rsidRPr="00330782" w:rsidRDefault="00C72FE7" w:rsidP="00C72FE7">
      <w:pPr>
        <w:ind w:right="-5"/>
        <w:jc w:val="both"/>
        <w:rPr>
          <w:sz w:val="12"/>
          <w:szCs w:val="12"/>
          <w:lang w:val="uk-UA"/>
        </w:rPr>
      </w:pPr>
    </w:p>
    <w:p w:rsidR="00C72FE7" w:rsidRDefault="0075556B" w:rsidP="00C72FE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0305B9">
        <w:rPr>
          <w:sz w:val="24"/>
          <w:szCs w:val="24"/>
          <w:lang w:val="uk-UA"/>
        </w:rPr>
        <w:t xml:space="preserve"> метою  </w:t>
      </w:r>
      <w:r>
        <w:rPr>
          <w:sz w:val="24"/>
          <w:szCs w:val="24"/>
          <w:lang w:val="uk-UA"/>
        </w:rPr>
        <w:t>забезпечення  надходжень до міського бюджету від  сплати податку на нерухоме майно, відмінне від земельної ділянки</w:t>
      </w:r>
      <w:r w:rsidR="00C72FE7" w:rsidRPr="000305B9">
        <w:rPr>
          <w:sz w:val="24"/>
          <w:szCs w:val="24"/>
          <w:lang w:val="uk-UA"/>
        </w:rPr>
        <w:t xml:space="preserve">, відповідно до ст.ст. 7, 10, 12, </w:t>
      </w:r>
      <w:r w:rsidR="00C72FE7">
        <w:rPr>
          <w:sz w:val="24"/>
          <w:szCs w:val="24"/>
          <w:lang w:val="uk-UA"/>
        </w:rPr>
        <w:t>266</w:t>
      </w:r>
      <w:r w:rsidR="00C72FE7" w:rsidRPr="000305B9">
        <w:rPr>
          <w:sz w:val="24"/>
          <w:szCs w:val="24"/>
          <w:lang w:val="uk-UA"/>
        </w:rPr>
        <w:t xml:space="preserve"> глави 1 розділу XIV Податкового кодексу України, Закону України «Про засади державної регуляторної політики у сфері господарської діяльності», враховуючи постанову Кабінету </w:t>
      </w:r>
      <w:r w:rsidR="00C72FE7">
        <w:rPr>
          <w:sz w:val="24"/>
          <w:szCs w:val="24"/>
          <w:lang w:val="uk-UA"/>
        </w:rPr>
        <w:t>Міністрів України від 24.05.</w:t>
      </w:r>
      <w:r w:rsidR="00C72FE7" w:rsidRPr="000305B9">
        <w:rPr>
          <w:sz w:val="24"/>
          <w:szCs w:val="24"/>
          <w:lang w:val="uk-UA"/>
        </w:rPr>
        <w:t xml:space="preserve">2017 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 </w:t>
      </w: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 w:rsidR="00C72FE7" w:rsidRPr="000305B9">
        <w:rPr>
          <w:sz w:val="24"/>
          <w:szCs w:val="24"/>
          <w:lang w:val="uk-UA"/>
        </w:rPr>
        <w:t>, міська рада</w:t>
      </w:r>
    </w:p>
    <w:p w:rsidR="00C72FE7" w:rsidRPr="000305B9" w:rsidRDefault="00C72FE7" w:rsidP="00C72FE7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:rsidR="00C72FE7" w:rsidRPr="000305B9" w:rsidRDefault="00C72FE7" w:rsidP="00C72FE7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:rsidR="00C72FE7" w:rsidRPr="00FA3354" w:rsidRDefault="00C72FE7" w:rsidP="00C72FE7">
      <w:pPr>
        <w:ind w:right="-5"/>
        <w:jc w:val="center"/>
        <w:rPr>
          <w:sz w:val="10"/>
          <w:szCs w:val="10"/>
        </w:rPr>
      </w:pPr>
    </w:p>
    <w:p w:rsidR="00C72FE7" w:rsidRPr="000305B9" w:rsidRDefault="00C72FE7" w:rsidP="00C72FE7">
      <w:pPr>
        <w:pStyle w:val="a4"/>
        <w:numPr>
          <w:ilvl w:val="0"/>
          <w:numId w:val="1"/>
        </w:numPr>
        <w:ind w:right="-5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Встановити на території міста Южноукраїнська на 202</w:t>
      </w:r>
      <w:r w:rsidR="00E709AF">
        <w:rPr>
          <w:sz w:val="24"/>
          <w:szCs w:val="24"/>
          <w:lang w:val="uk-UA"/>
        </w:rPr>
        <w:t>1</w:t>
      </w:r>
      <w:r w:rsidRPr="000305B9">
        <w:rPr>
          <w:sz w:val="24"/>
          <w:szCs w:val="24"/>
          <w:lang w:val="uk-UA"/>
        </w:rPr>
        <w:t xml:space="preserve"> рік:</w:t>
      </w:r>
    </w:p>
    <w:p w:rsidR="00C72FE7" w:rsidRPr="00FA3354" w:rsidRDefault="00C72FE7" w:rsidP="00C72FE7">
      <w:pPr>
        <w:ind w:left="709" w:right="-5"/>
        <w:jc w:val="both"/>
        <w:rPr>
          <w:sz w:val="10"/>
          <w:szCs w:val="10"/>
          <w:lang w:val="uk-UA"/>
        </w:rPr>
      </w:pPr>
    </w:p>
    <w:p w:rsidR="00C72FE7" w:rsidRPr="000305B9" w:rsidRDefault="00C72FE7" w:rsidP="00C72FE7">
      <w:pPr>
        <w:ind w:firstLine="720"/>
        <w:jc w:val="both"/>
        <w:rPr>
          <w:sz w:val="24"/>
          <w:szCs w:val="24"/>
        </w:rPr>
      </w:pPr>
      <w:r w:rsidRPr="000305B9">
        <w:rPr>
          <w:sz w:val="24"/>
          <w:szCs w:val="24"/>
          <w:lang w:val="uk-UA"/>
        </w:rPr>
        <w:t xml:space="preserve"> 1.1 </w:t>
      </w:r>
      <w:r w:rsidRPr="002B04DA">
        <w:rPr>
          <w:noProof/>
          <w:sz w:val="24"/>
          <w:szCs w:val="24"/>
        </w:rPr>
        <w:t>ставки податку на нерухоме майно, відмінне від земельної ділянки</w:t>
      </w:r>
      <w:r w:rsidRPr="000305B9">
        <w:rPr>
          <w:sz w:val="24"/>
          <w:szCs w:val="24"/>
        </w:rPr>
        <w:t xml:space="preserve"> (</w:t>
      </w:r>
      <w:proofErr w:type="spellStart"/>
      <w:r w:rsidRPr="000305B9">
        <w:rPr>
          <w:sz w:val="24"/>
          <w:szCs w:val="24"/>
        </w:rPr>
        <w:t>додаток</w:t>
      </w:r>
      <w:proofErr w:type="spellEnd"/>
      <w:r w:rsidRPr="000305B9">
        <w:rPr>
          <w:sz w:val="24"/>
          <w:szCs w:val="24"/>
        </w:rPr>
        <w:t xml:space="preserve"> 1);</w:t>
      </w:r>
    </w:p>
    <w:p w:rsidR="00C72FE7" w:rsidRPr="000305B9" w:rsidRDefault="00C72FE7" w:rsidP="00C72FE7">
      <w:pPr>
        <w:ind w:firstLine="709"/>
        <w:jc w:val="both"/>
        <w:rPr>
          <w:sz w:val="24"/>
          <w:szCs w:val="24"/>
        </w:rPr>
      </w:pPr>
      <w:r w:rsidRPr="000305B9"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</w:rPr>
        <w:t xml:space="preserve">1.2 </w:t>
      </w:r>
      <w:r w:rsidRPr="002B04DA">
        <w:rPr>
          <w:noProof/>
          <w:sz w:val="24"/>
          <w:szCs w:val="24"/>
        </w:rPr>
        <w:t>пільги для фізичних та юридичних осіб, надані відповідно до підпункту 266.4.2 пункту 266.4 статті 266 Податкового кодексу України</w:t>
      </w:r>
      <w:r w:rsidRPr="000305B9">
        <w:rPr>
          <w:sz w:val="24"/>
          <w:szCs w:val="24"/>
        </w:rPr>
        <w:t xml:space="preserve"> (</w:t>
      </w:r>
      <w:proofErr w:type="spellStart"/>
      <w:r w:rsidRPr="000305B9">
        <w:rPr>
          <w:sz w:val="24"/>
          <w:szCs w:val="24"/>
        </w:rPr>
        <w:t>додаток</w:t>
      </w:r>
      <w:proofErr w:type="spellEnd"/>
      <w:r w:rsidRPr="000305B9">
        <w:rPr>
          <w:sz w:val="24"/>
          <w:szCs w:val="24"/>
        </w:rPr>
        <w:t xml:space="preserve"> 2).</w:t>
      </w:r>
    </w:p>
    <w:p w:rsidR="00C72FE7" w:rsidRPr="00FA3354" w:rsidRDefault="00C72FE7" w:rsidP="00C72FE7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:rsidR="00C72FE7" w:rsidRPr="000305B9" w:rsidRDefault="00C72FE7" w:rsidP="00C72FE7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2. Елементи </w:t>
      </w:r>
      <w:r w:rsidRPr="002B04DA">
        <w:rPr>
          <w:noProof/>
          <w:sz w:val="24"/>
          <w:szCs w:val="24"/>
        </w:rPr>
        <w:t>податку на нерухоме майно, відмінне від земельної ділянки</w:t>
      </w:r>
      <w:r w:rsidRPr="000305B9">
        <w:rPr>
          <w:sz w:val="24"/>
          <w:szCs w:val="24"/>
          <w:lang w:val="uk-UA"/>
        </w:rPr>
        <w:t xml:space="preserve">: платники  податку, об’єкт оподаткування, база оподаткування, порядок обчислення, податковий період, строк та порядок сплати податку, строк та подання звітності про обчислення і сплату </w:t>
      </w:r>
      <w:r>
        <w:rPr>
          <w:sz w:val="24"/>
          <w:szCs w:val="24"/>
          <w:lang w:val="uk-UA"/>
        </w:rPr>
        <w:t xml:space="preserve"> податку визначено </w:t>
      </w:r>
      <w:r w:rsidRPr="000305B9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 xml:space="preserve">тею </w:t>
      </w:r>
      <w:r w:rsidRPr="00030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266 </w:t>
      </w:r>
      <w:r w:rsidRPr="000305B9">
        <w:rPr>
          <w:sz w:val="24"/>
          <w:szCs w:val="24"/>
          <w:lang w:val="uk-UA"/>
        </w:rPr>
        <w:t>Податкового кодексу України.</w:t>
      </w:r>
    </w:p>
    <w:p w:rsidR="00C72FE7" w:rsidRPr="00FA3354" w:rsidRDefault="00C72FE7" w:rsidP="00C72FE7">
      <w:pPr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:rsidR="00C72FE7" w:rsidRPr="000305B9" w:rsidRDefault="00C72FE7" w:rsidP="00C72FE7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3. Рішення набирає чинності з 01.01.202</w:t>
      </w:r>
      <w:r w:rsidR="00E709AF">
        <w:rPr>
          <w:sz w:val="24"/>
          <w:szCs w:val="24"/>
          <w:lang w:val="uk-UA"/>
        </w:rPr>
        <w:t>1</w:t>
      </w:r>
      <w:r w:rsidRPr="000305B9">
        <w:rPr>
          <w:sz w:val="24"/>
          <w:szCs w:val="24"/>
          <w:lang w:val="uk-UA"/>
        </w:rPr>
        <w:t>.</w:t>
      </w:r>
    </w:p>
    <w:p w:rsidR="00C72FE7" w:rsidRPr="00FA3354" w:rsidRDefault="00C72FE7" w:rsidP="00C72FE7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</w:p>
    <w:p w:rsidR="00C72FE7" w:rsidRPr="000305B9" w:rsidRDefault="00C72FE7" w:rsidP="00C72FE7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4.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(Курдасов), першого заступника міського голови з питань діяльності виконавчих органів ради Мустяцу Г.Ф. </w:t>
      </w:r>
    </w:p>
    <w:p w:rsidR="00C72FE7" w:rsidRPr="000305B9" w:rsidRDefault="00C72FE7" w:rsidP="00C72FE7">
      <w:pPr>
        <w:ind w:right="-1"/>
        <w:jc w:val="both"/>
        <w:rPr>
          <w:sz w:val="24"/>
          <w:szCs w:val="24"/>
          <w:lang w:val="uk-UA"/>
        </w:rPr>
      </w:pPr>
    </w:p>
    <w:p w:rsidR="00C72FE7" w:rsidRDefault="00C72FE7" w:rsidP="00C72FE7">
      <w:pPr>
        <w:ind w:right="-1"/>
        <w:jc w:val="both"/>
        <w:rPr>
          <w:sz w:val="24"/>
          <w:szCs w:val="24"/>
          <w:lang w:val="uk-UA"/>
        </w:rPr>
      </w:pPr>
    </w:p>
    <w:p w:rsidR="00C72FE7" w:rsidRPr="000305B9" w:rsidRDefault="00C72FE7" w:rsidP="00C72FE7">
      <w:pPr>
        <w:ind w:right="-1" w:firstLine="708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Міський голова</w:t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В.К. Пароконний</w:t>
      </w:r>
    </w:p>
    <w:p w:rsidR="00C72FE7" w:rsidRPr="00FA3354" w:rsidRDefault="00C72FE7" w:rsidP="00C72FE7">
      <w:pPr>
        <w:ind w:right="-1"/>
        <w:jc w:val="both"/>
        <w:rPr>
          <w:sz w:val="10"/>
          <w:szCs w:val="10"/>
          <w:lang w:val="uk-UA"/>
        </w:rPr>
      </w:pPr>
    </w:p>
    <w:p w:rsidR="00C72FE7" w:rsidRDefault="00C72FE7" w:rsidP="00C72FE7">
      <w:pPr>
        <w:ind w:right="-1"/>
        <w:jc w:val="both"/>
        <w:rPr>
          <w:lang w:val="uk-UA"/>
        </w:rPr>
      </w:pPr>
    </w:p>
    <w:p w:rsidR="00C72FE7" w:rsidRDefault="00C72FE7" w:rsidP="00C72FE7">
      <w:pPr>
        <w:ind w:right="-1"/>
        <w:jc w:val="both"/>
        <w:rPr>
          <w:lang w:val="uk-UA"/>
        </w:rPr>
      </w:pPr>
    </w:p>
    <w:p w:rsidR="00C72FE7" w:rsidRDefault="00C72FE7" w:rsidP="00C72FE7">
      <w:pPr>
        <w:ind w:right="-1"/>
        <w:jc w:val="both"/>
        <w:rPr>
          <w:lang w:val="uk-UA"/>
        </w:rPr>
      </w:pPr>
    </w:p>
    <w:p w:rsidR="00E709AF" w:rsidRDefault="00E709AF" w:rsidP="00E709AF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>Погоджено у відповідності до посадового обов’язку, начальник управління економічного розвитку Южноукраїнської міської ради</w:t>
      </w:r>
    </w:p>
    <w:p w:rsidR="00E709AF" w:rsidRPr="004C7FA5" w:rsidRDefault="00E709AF" w:rsidP="00E709AF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__________________</w:t>
      </w:r>
      <w:proofErr w:type="spellStart"/>
      <w:r w:rsidRPr="004C7FA5">
        <w:rPr>
          <w:sz w:val="16"/>
          <w:szCs w:val="16"/>
          <w:lang w:val="uk-UA"/>
        </w:rPr>
        <w:t>І.В.Петрик</w:t>
      </w:r>
      <w:proofErr w:type="spellEnd"/>
      <w:r w:rsidRPr="004C7FA5">
        <w:rPr>
          <w:sz w:val="16"/>
          <w:szCs w:val="16"/>
          <w:lang w:val="uk-UA"/>
        </w:rPr>
        <w:t xml:space="preserve"> </w:t>
      </w:r>
    </w:p>
    <w:p w:rsidR="00E709AF" w:rsidRPr="004C7FA5" w:rsidRDefault="00E709AF" w:rsidP="00E709AF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C72FE7" w:rsidRPr="008E7686" w:rsidRDefault="00C72FE7" w:rsidP="00C72FE7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1</w:t>
      </w:r>
    </w:p>
    <w:p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C72FE7" w:rsidRPr="008E7686" w:rsidRDefault="00C72FE7" w:rsidP="00C72FE7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B00862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</w:t>
      </w:r>
      <w:r w:rsidR="00B00862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E709AF">
        <w:rPr>
          <w:sz w:val="24"/>
          <w:szCs w:val="24"/>
          <w:lang w:val="uk-UA"/>
        </w:rPr>
        <w:t>20</w:t>
      </w:r>
      <w:r w:rsidRPr="008E7686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B00862">
        <w:rPr>
          <w:sz w:val="24"/>
          <w:szCs w:val="24"/>
          <w:lang w:val="uk-UA"/>
        </w:rPr>
        <w:t>1914</w:t>
      </w:r>
      <w:r>
        <w:rPr>
          <w:sz w:val="24"/>
          <w:szCs w:val="24"/>
          <w:lang w:val="uk-UA"/>
        </w:rPr>
        <w:t>_</w:t>
      </w:r>
    </w:p>
    <w:p w:rsidR="00C72FE7" w:rsidRDefault="00C72FE7" w:rsidP="00C72FE7">
      <w:pPr>
        <w:rPr>
          <w:b/>
          <w:bCs/>
          <w:i/>
          <w:iCs/>
        </w:rPr>
      </w:pPr>
    </w:p>
    <w:p w:rsidR="00C72FE7" w:rsidRDefault="00C72FE7" w:rsidP="00C72FE7">
      <w:pPr>
        <w:pStyle w:val="a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75556B" w:rsidRDefault="0075556B" w:rsidP="00C72FE7">
      <w:pPr>
        <w:jc w:val="center"/>
        <w:rPr>
          <w:noProof/>
          <w:sz w:val="24"/>
          <w:szCs w:val="24"/>
          <w:lang w:val="uk-UA"/>
        </w:rPr>
      </w:pPr>
    </w:p>
    <w:p w:rsidR="00C72FE7" w:rsidRDefault="00C72FE7" w:rsidP="00C72FE7">
      <w:pPr>
        <w:jc w:val="center"/>
        <w:rPr>
          <w:noProof/>
          <w:sz w:val="24"/>
          <w:szCs w:val="24"/>
          <w:lang w:val="uk-UA"/>
        </w:rPr>
      </w:pPr>
      <w:r w:rsidRPr="00F25173">
        <w:rPr>
          <w:noProof/>
          <w:sz w:val="24"/>
          <w:szCs w:val="24"/>
        </w:rPr>
        <w:t>С</w:t>
      </w:r>
      <w:r w:rsidRPr="00F25173">
        <w:rPr>
          <w:noProof/>
          <w:sz w:val="24"/>
          <w:szCs w:val="24"/>
          <w:lang w:val="uk-UA"/>
        </w:rPr>
        <w:t xml:space="preserve">тавки </w:t>
      </w:r>
      <w:r w:rsidRPr="00F25173">
        <w:rPr>
          <w:noProof/>
          <w:sz w:val="24"/>
          <w:szCs w:val="24"/>
          <w:vertAlign w:val="superscript"/>
        </w:rPr>
        <w:br/>
      </w:r>
      <w:r w:rsidRPr="00F25173">
        <w:rPr>
          <w:noProof/>
          <w:sz w:val="24"/>
          <w:szCs w:val="24"/>
        </w:rPr>
        <w:t>податку на нерухоме майно, відмінне від земельної ділянки</w:t>
      </w:r>
    </w:p>
    <w:p w:rsidR="00C72FE7" w:rsidRDefault="00C72FE7" w:rsidP="00C72FE7">
      <w:pPr>
        <w:jc w:val="center"/>
        <w:rPr>
          <w:noProof/>
          <w:sz w:val="24"/>
          <w:szCs w:val="24"/>
          <w:lang w:val="uk-UA"/>
        </w:rPr>
      </w:pPr>
    </w:p>
    <w:p w:rsidR="00C72FE7" w:rsidRPr="007368EA" w:rsidRDefault="00C72FE7" w:rsidP="00C72FE7">
      <w:pPr>
        <w:pStyle w:val="a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368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202</w:t>
      </w:r>
      <w:r w:rsidR="00E709AF">
        <w:rPr>
          <w:rFonts w:ascii="Times New Roman" w:hAnsi="Times New Roman" w:cs="Times New Roman"/>
          <w:noProof/>
          <w:sz w:val="24"/>
          <w:szCs w:val="24"/>
          <w:lang w:val="ru-RU"/>
        </w:rPr>
        <w:t>1</w:t>
      </w:r>
      <w:r w:rsidRPr="007368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рік та вводяться в дію з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01.01.202</w:t>
      </w:r>
      <w:r w:rsidR="00E709AF">
        <w:rPr>
          <w:rFonts w:ascii="Times New Roman" w:hAnsi="Times New Roman" w:cs="Times New Roman"/>
          <w:noProof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C72FE7" w:rsidRPr="004468E3" w:rsidRDefault="00C72FE7" w:rsidP="00C72FE7">
      <w:pPr>
        <w:jc w:val="center"/>
        <w:rPr>
          <w:noProof/>
          <w:sz w:val="24"/>
          <w:szCs w:val="24"/>
        </w:rPr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260"/>
        <w:gridCol w:w="1800"/>
        <w:gridCol w:w="4680"/>
      </w:tblGrid>
      <w:tr w:rsidR="00C72FE7" w:rsidRPr="007368EA" w:rsidTr="00E709AF">
        <w:tc>
          <w:tcPr>
            <w:tcW w:w="1226" w:type="dxa"/>
            <w:vAlign w:val="center"/>
          </w:tcPr>
          <w:p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680" w:type="dxa"/>
            <w:vAlign w:val="center"/>
          </w:tcPr>
          <w:p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C72FE7" w:rsidRPr="007368EA" w:rsidTr="00E709AF">
        <w:tc>
          <w:tcPr>
            <w:tcW w:w="1226" w:type="dxa"/>
            <w:vAlign w:val="center"/>
          </w:tcPr>
          <w:p w:rsidR="00C72FE7" w:rsidRPr="007D40B8" w:rsidRDefault="00C72FE7" w:rsidP="00E709AF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:rsidR="00C72FE7" w:rsidRPr="007D40B8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C72FE7" w:rsidRPr="007D40B8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680" w:type="dxa"/>
            <w:vAlign w:val="center"/>
          </w:tcPr>
          <w:p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:rsidR="00C72FE7" w:rsidRDefault="00C72FE7" w:rsidP="00C72FE7">
      <w:pPr>
        <w:widowControl w:val="0"/>
        <w:rPr>
          <w:noProof/>
          <w:sz w:val="24"/>
          <w:szCs w:val="24"/>
          <w:lang w:val="uk-UA"/>
        </w:rPr>
      </w:pPr>
    </w:p>
    <w:p w:rsidR="0075556B" w:rsidRPr="0075556B" w:rsidRDefault="0075556B" w:rsidP="00C72FE7">
      <w:pPr>
        <w:widowControl w:val="0"/>
        <w:rPr>
          <w:noProof/>
          <w:sz w:val="24"/>
          <w:szCs w:val="24"/>
          <w:lang w:val="uk-UA"/>
        </w:rPr>
      </w:pPr>
    </w:p>
    <w:tbl>
      <w:tblPr>
        <w:tblW w:w="5111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"/>
        <w:gridCol w:w="3784"/>
        <w:gridCol w:w="2180"/>
        <w:gridCol w:w="2151"/>
      </w:tblGrid>
      <w:tr w:rsidR="00C72FE7" w:rsidRPr="007368EA" w:rsidTr="00F84E32">
        <w:trPr>
          <w:trHeight w:val="5"/>
        </w:trPr>
        <w:tc>
          <w:tcPr>
            <w:tcW w:w="2604" w:type="pct"/>
            <w:gridSpan w:val="2"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Класифікація будівель та споруд</w:t>
            </w:r>
          </w:p>
        </w:tc>
        <w:tc>
          <w:tcPr>
            <w:tcW w:w="2396" w:type="pct"/>
            <w:gridSpan w:val="2"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Ставки податку за 1 кв. метр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  <w:vMerge w:val="restart"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093" w:type="pct"/>
            <w:vMerge w:val="restart"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206" w:type="pct"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190" w:type="pct"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  <w:vMerge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3" w:type="pct"/>
            <w:vMerge/>
            <w:noWrap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noWrap/>
            <w:vAlign w:val="center"/>
          </w:tcPr>
          <w:p w:rsidR="00C72FE7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для усіх місць розташування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(зональності)</w:t>
            </w:r>
          </w:p>
        </w:tc>
        <w:tc>
          <w:tcPr>
            <w:tcW w:w="1190" w:type="pct"/>
            <w:noWrap/>
            <w:vAlign w:val="center"/>
          </w:tcPr>
          <w:p w:rsidR="00C72FE7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для усіх місць розташування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(зональності)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  <w:p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113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Pr="0006224C">
              <w:rPr>
                <w:rStyle w:val="20"/>
                <w:color w:val="76A9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489" w:type="pct"/>
            <w:gridSpan w:val="3"/>
            <w:vAlign w:val="center"/>
          </w:tcPr>
          <w:p w:rsidR="0075556B" w:rsidRDefault="0075556B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123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(крім об’єктів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 згідно з підпунктом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489" w:type="pct"/>
            <w:gridSpan w:val="3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виробничих корпусів, цехів, складських приміщень промислових підприємств згідно з підпунктом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навчальних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дослідних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закладів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винятком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нерухомості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яка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перебуває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влади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також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створених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установленому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порядку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що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повністю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утримуються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рахунок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відповідного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неприбутковими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їх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спільній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)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згідно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підпунктом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пункту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статті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Податкового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кодексу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України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лікарень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оздоровчих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закладів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винятком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нерухомості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яка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перебуває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влади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також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створених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установленому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порядку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що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повністю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утримуються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рахунок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відповідного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неприбутковими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їх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спільній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)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згідно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підпунктом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пункту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статті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Податкового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кодексу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України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72FE7" w:rsidRPr="00B00862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(за винятком будівль, споруд сільськогосподарських товаровиробників, призначених для використання безпосередньо у сільськогосподарській діяльності  згідно з підпунктом 266.2.2 пункту 266.2 статті 266 Податкового кодексу України та </w:t>
            </w:r>
            <w:r w:rsidRPr="00062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здаються їх власниками в оренду, лізинг, позичку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(крім нерухомості, що перебуває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 згідно з підпунктом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489" w:type="pct"/>
            <w:gridSpan w:val="3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:rsidTr="00F84E32">
        <w:trPr>
          <w:trHeight w:val="5"/>
        </w:trPr>
        <w:tc>
          <w:tcPr>
            <w:tcW w:w="511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093" w:type="pct"/>
            <w:vAlign w:val="center"/>
          </w:tcPr>
          <w:p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1206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</w:tbl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Pr="00E248A0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248A0">
        <w:rPr>
          <w:rFonts w:ascii="Times New Roman" w:hAnsi="Times New Roman" w:cs="Times New Roman"/>
          <w:noProof/>
          <w:sz w:val="24"/>
          <w:szCs w:val="24"/>
          <w:vertAlign w:val="superscript"/>
          <w:lang w:val="ru-RU"/>
        </w:rPr>
        <w:t>1</w:t>
      </w:r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Об’єкти нерухомості, що класифікуються за цим підкласом, звільняються </w:t>
      </w:r>
      <w:proofErr w:type="gramStart"/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повністю  від</w:t>
      </w:r>
      <w:proofErr w:type="gramEnd"/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</w:t>
      </w: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Перший заступник міського голови з</w:t>
      </w: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питань діяльності виконавчих органів ради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Г.Ф. Мустяца</w:t>
      </w: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72FE7" w:rsidRPr="008E7686" w:rsidRDefault="00C72FE7" w:rsidP="00C72FE7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75556B" w:rsidRDefault="00C72FE7" w:rsidP="0075556B">
      <w:pPr>
        <w:ind w:left="4962" w:right="-1" w:hanging="6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 w:rsidR="00B00862">
        <w:rPr>
          <w:sz w:val="24"/>
          <w:szCs w:val="24"/>
          <w:lang w:val="uk-UA"/>
        </w:rPr>
        <w:t>_25</w:t>
      </w:r>
      <w:r w:rsidR="0075556B">
        <w:rPr>
          <w:sz w:val="24"/>
          <w:szCs w:val="24"/>
          <w:lang w:val="uk-UA"/>
        </w:rPr>
        <w:t>_</w:t>
      </w:r>
      <w:r w:rsidRPr="008E7686">
        <w:rPr>
          <w:sz w:val="24"/>
          <w:szCs w:val="24"/>
          <w:lang w:val="uk-UA"/>
        </w:rPr>
        <w:t>»</w:t>
      </w:r>
      <w:r w:rsidR="00B00862">
        <w:rPr>
          <w:sz w:val="24"/>
          <w:szCs w:val="24"/>
          <w:lang w:val="uk-UA"/>
        </w:rPr>
        <w:t>_06</w:t>
      </w:r>
      <w:r w:rsidR="0075556B"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75556B">
        <w:rPr>
          <w:sz w:val="24"/>
          <w:szCs w:val="24"/>
          <w:lang w:val="uk-UA"/>
        </w:rPr>
        <w:t>20</w:t>
      </w:r>
      <w:r w:rsidRPr="008E7686">
        <w:rPr>
          <w:sz w:val="24"/>
          <w:szCs w:val="24"/>
          <w:lang w:val="uk-UA"/>
        </w:rPr>
        <w:t xml:space="preserve"> № </w:t>
      </w:r>
      <w:r w:rsidR="00B00862">
        <w:rPr>
          <w:sz w:val="24"/>
          <w:szCs w:val="24"/>
          <w:lang w:val="uk-UA"/>
        </w:rPr>
        <w:t>_1914</w:t>
      </w:r>
      <w:bookmarkStart w:id="0" w:name="_GoBack"/>
      <w:bookmarkEnd w:id="0"/>
      <w:r w:rsidR="0075556B">
        <w:rPr>
          <w:sz w:val="24"/>
          <w:szCs w:val="24"/>
          <w:lang w:val="uk-UA"/>
        </w:rPr>
        <w:t xml:space="preserve">_ </w:t>
      </w:r>
    </w:p>
    <w:p w:rsidR="0075556B" w:rsidRDefault="0075556B" w:rsidP="0075556B">
      <w:pPr>
        <w:ind w:right="-1"/>
        <w:jc w:val="center"/>
        <w:rPr>
          <w:sz w:val="24"/>
          <w:szCs w:val="24"/>
          <w:lang w:val="uk-UA"/>
        </w:rPr>
      </w:pPr>
    </w:p>
    <w:p w:rsidR="00C72FE7" w:rsidRPr="0075556B" w:rsidRDefault="00C72FE7" w:rsidP="0075556B">
      <w:pPr>
        <w:ind w:right="-1"/>
        <w:jc w:val="center"/>
        <w:rPr>
          <w:b/>
          <w:bCs/>
          <w:sz w:val="24"/>
          <w:szCs w:val="24"/>
          <w:lang w:val="uk-UA"/>
        </w:rPr>
      </w:pPr>
      <w:r w:rsidRPr="0075556B">
        <w:rPr>
          <w:sz w:val="24"/>
          <w:szCs w:val="24"/>
          <w:lang w:val="uk-UA"/>
        </w:rPr>
        <w:t>ПЕРЕЛІК</w:t>
      </w:r>
      <w:r w:rsidRPr="0075556B">
        <w:rPr>
          <w:sz w:val="24"/>
          <w:szCs w:val="24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C72FE7" w:rsidRPr="005F52F9" w:rsidRDefault="00C72FE7" w:rsidP="00C7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2F9">
        <w:rPr>
          <w:rFonts w:ascii="Times New Roman" w:hAnsi="Times New Roman" w:cs="Times New Roman"/>
          <w:sz w:val="24"/>
          <w:szCs w:val="24"/>
        </w:rPr>
        <w:t>Пільги встановлюються на 2020 рік та вводяться в дію з 01.01.2020.</w:t>
      </w:r>
    </w:p>
    <w:tbl>
      <w:tblPr>
        <w:tblW w:w="8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60"/>
        <w:gridCol w:w="1800"/>
        <w:gridCol w:w="4311"/>
      </w:tblGrid>
      <w:tr w:rsidR="00C72FE7" w:rsidRPr="005F52F9" w:rsidTr="00F84E32">
        <w:tc>
          <w:tcPr>
            <w:tcW w:w="1560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311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C72FE7" w:rsidRPr="005F52F9" w:rsidTr="00F84E32">
        <w:tc>
          <w:tcPr>
            <w:tcW w:w="1560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311" w:type="dxa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F52F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:rsidR="00C72FE7" w:rsidRPr="005F52F9" w:rsidRDefault="00C72FE7" w:rsidP="00C72FE7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6"/>
        <w:gridCol w:w="2393"/>
      </w:tblGrid>
      <w:tr w:rsidR="00C72FE7" w:rsidRPr="005F52F9" w:rsidTr="00F84E32">
        <w:tc>
          <w:tcPr>
            <w:tcW w:w="3643" w:type="pct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sz w:val="24"/>
                <w:szCs w:val="24"/>
              </w:rPr>
              <w:t>Група платників, категорія/класифікація</w:t>
            </w:r>
            <w:r w:rsidRPr="005F52F9">
              <w:rPr>
                <w:rFonts w:ascii="Times New Roman" w:hAnsi="Times New Roman" w:cs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357" w:type="pct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sz w:val="24"/>
                <w:szCs w:val="24"/>
              </w:rPr>
              <w:t>Розмір пільги</w:t>
            </w:r>
            <w:r w:rsidRPr="005F52F9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C72FE7" w:rsidRPr="005F52F9" w:rsidTr="00F84E32">
        <w:tc>
          <w:tcPr>
            <w:tcW w:w="3643" w:type="pct"/>
            <w:vAlign w:val="center"/>
          </w:tcPr>
          <w:p w:rsidR="00C72FE7" w:rsidRDefault="00C72FE7" w:rsidP="00F84E3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</w:t>
            </w:r>
            <w:proofErr w:type="spellStart"/>
            <w:r>
              <w:rPr>
                <w:color w:val="000000"/>
                <w:sz w:val="24"/>
                <w:szCs w:val="24"/>
              </w:rPr>
              <w:t>ізичн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особи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/ </w:t>
            </w:r>
            <w:proofErr w:type="spellStart"/>
            <w:r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житлові</w:t>
            </w:r>
            <w:proofErr w:type="spellEnd"/>
          </w:p>
          <w:p w:rsidR="00C72FE7" w:rsidRPr="005B2EB2" w:rsidRDefault="00C72FE7" w:rsidP="00F84E3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B2EB2">
              <w:rPr>
                <w:color w:val="000000"/>
                <w:sz w:val="24"/>
                <w:szCs w:val="24"/>
                <w:lang w:val="uk-UA"/>
              </w:rPr>
              <w:t xml:space="preserve">    База оподаткування об’єкта/об’єктів житлової нерухомості, в тому числі їх часток, зменшується:</w:t>
            </w:r>
          </w:p>
          <w:p w:rsidR="00C72FE7" w:rsidRPr="00FA31F8" w:rsidRDefault="00C72FE7" w:rsidP="00F84E32">
            <w:pPr>
              <w:jc w:val="both"/>
              <w:rPr>
                <w:color w:val="000000"/>
                <w:sz w:val="24"/>
                <w:szCs w:val="24"/>
              </w:rPr>
            </w:pPr>
            <w:r w:rsidRPr="00FA31F8">
              <w:rPr>
                <w:color w:val="000000"/>
                <w:sz w:val="24"/>
                <w:szCs w:val="24"/>
              </w:rPr>
              <w:t xml:space="preserve">а) для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квартири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/квартир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незалежно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- на 60 кв.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метрів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;</w:t>
            </w:r>
          </w:p>
          <w:p w:rsidR="00C72FE7" w:rsidRPr="00FA31F8" w:rsidRDefault="00C72FE7" w:rsidP="00F84E32">
            <w:pPr>
              <w:jc w:val="both"/>
              <w:rPr>
                <w:color w:val="000000"/>
                <w:sz w:val="24"/>
                <w:szCs w:val="24"/>
              </w:rPr>
            </w:pPr>
            <w:r w:rsidRPr="00FA31F8">
              <w:rPr>
                <w:color w:val="000000"/>
                <w:sz w:val="24"/>
                <w:szCs w:val="24"/>
              </w:rPr>
              <w:t xml:space="preserve">б) для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будинків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незалежно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- на 120 кв.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метрів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;</w:t>
            </w:r>
          </w:p>
          <w:p w:rsidR="00C72FE7" w:rsidRPr="005F52F9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A0FAA">
              <w:t xml:space="preserve">в) для </w:t>
            </w:r>
            <w:proofErr w:type="spellStart"/>
            <w:r w:rsidRPr="00CA0FAA">
              <w:t>різних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типів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об’єктів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житлової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нерухомості</w:t>
            </w:r>
            <w:proofErr w:type="spellEnd"/>
            <w:r w:rsidRPr="00CA0FAA">
              <w:t xml:space="preserve">, в тому </w:t>
            </w:r>
            <w:proofErr w:type="spellStart"/>
            <w:r w:rsidRPr="00CA0FAA">
              <w:t>числі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їх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часток</w:t>
            </w:r>
            <w:proofErr w:type="spellEnd"/>
            <w:r w:rsidRPr="00CA0FAA">
              <w:t xml:space="preserve"> (у </w:t>
            </w:r>
            <w:proofErr w:type="spellStart"/>
            <w:r w:rsidRPr="00CA0FAA">
              <w:t>разі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одночасного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перебування</w:t>
            </w:r>
            <w:proofErr w:type="spellEnd"/>
            <w:r w:rsidRPr="00CA0FAA">
              <w:t xml:space="preserve"> у </w:t>
            </w:r>
            <w:proofErr w:type="spellStart"/>
            <w:r w:rsidRPr="00CA0FAA">
              <w:t>власності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платника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податку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квартири</w:t>
            </w:r>
            <w:proofErr w:type="spellEnd"/>
            <w:r w:rsidRPr="00CA0FAA">
              <w:t xml:space="preserve">/квартир та </w:t>
            </w:r>
            <w:proofErr w:type="spellStart"/>
            <w:r w:rsidRPr="00CA0FAA">
              <w:t>житлового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будинку</w:t>
            </w:r>
            <w:proofErr w:type="spellEnd"/>
            <w:r w:rsidRPr="00CA0FAA">
              <w:t>/</w:t>
            </w:r>
            <w:proofErr w:type="spellStart"/>
            <w:r w:rsidRPr="00CA0FAA">
              <w:t>будинків</w:t>
            </w:r>
            <w:proofErr w:type="spellEnd"/>
            <w:r w:rsidRPr="00CA0FAA">
              <w:t xml:space="preserve">, у тому </w:t>
            </w:r>
            <w:proofErr w:type="spellStart"/>
            <w:r w:rsidRPr="00CA0FAA">
              <w:t>числі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їх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часток</w:t>
            </w:r>
            <w:proofErr w:type="spellEnd"/>
            <w:r w:rsidRPr="00CA0FAA">
              <w:t xml:space="preserve">), - на 180 кв. </w:t>
            </w:r>
            <w:proofErr w:type="spellStart"/>
            <w:r w:rsidRPr="00CA0FAA">
              <w:t>метрів</w:t>
            </w:r>
            <w:proofErr w:type="spellEnd"/>
          </w:p>
        </w:tc>
        <w:tc>
          <w:tcPr>
            <w:tcW w:w="1357" w:type="pct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2FE7" w:rsidRPr="005F52F9" w:rsidTr="00F84E32">
        <w:tc>
          <w:tcPr>
            <w:tcW w:w="3643" w:type="pct"/>
            <w:vAlign w:val="center"/>
          </w:tcPr>
          <w:p w:rsidR="00C72FE7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5F52F9">
              <w:rPr>
                <w:lang w:val="uk-UA"/>
              </w:rPr>
              <w:t xml:space="preserve">ізичні особи </w:t>
            </w:r>
            <w:r>
              <w:rPr>
                <w:lang w:val="uk-UA"/>
              </w:rPr>
              <w:t xml:space="preserve">/ </w:t>
            </w:r>
            <w:r w:rsidRPr="005F52F9">
              <w:rPr>
                <w:lang w:val="uk-UA"/>
              </w:rPr>
              <w:t>Об'єкти нежитлової нерухомості, а саме</w:t>
            </w:r>
            <w:r w:rsidR="0075556B">
              <w:rPr>
                <w:lang w:val="uk-UA"/>
              </w:rPr>
              <w:t>:</w:t>
            </w:r>
            <w:r w:rsidRPr="005F52F9">
              <w:rPr>
                <w:lang w:val="uk-UA"/>
              </w:rPr>
              <w:t xml:space="preserve"> господарськ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(присадибн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>) будівл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- допоміжн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(нежитлов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>) приміщен</w:t>
            </w:r>
            <w:r>
              <w:rPr>
                <w:lang w:val="uk-UA"/>
              </w:rPr>
              <w:t>ня</w:t>
            </w:r>
            <w:r w:rsidRPr="005F52F9">
              <w:rPr>
                <w:lang w:val="uk-UA"/>
              </w:rPr>
              <w:t>, до яких належать сараї, хліви, гаражі, літні кухні, майстерні, вбиральні, погреби, навіси, котельні, бойлерні, трансформаторні підстанції тощо</w:t>
            </w:r>
          </w:p>
        </w:tc>
        <w:tc>
          <w:tcPr>
            <w:tcW w:w="1357" w:type="pct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2FE7" w:rsidRPr="005F52F9" w:rsidTr="00F84E32">
        <w:tc>
          <w:tcPr>
            <w:tcW w:w="3643" w:type="pct"/>
            <w:vAlign w:val="center"/>
          </w:tcPr>
          <w:p w:rsidR="00C72FE7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5F52F9">
              <w:rPr>
                <w:lang w:val="uk-UA"/>
              </w:rPr>
              <w:t>ізичні особи - учасники АТО, сім’ї, члени яких загинули внаслідок участі в АТО, учасники бойових дій, чорнобильці та інваліди 1 групи</w:t>
            </w:r>
            <w:r>
              <w:rPr>
                <w:lang w:val="uk-UA"/>
              </w:rPr>
              <w:t xml:space="preserve"> / </w:t>
            </w:r>
            <w:r w:rsidRPr="005F52F9">
              <w:rPr>
                <w:lang w:val="uk-UA"/>
              </w:rPr>
              <w:t xml:space="preserve">Об'єкти </w:t>
            </w:r>
            <w:r>
              <w:rPr>
                <w:lang w:val="uk-UA"/>
              </w:rPr>
              <w:t xml:space="preserve">житлової та </w:t>
            </w:r>
            <w:r w:rsidRPr="005F52F9">
              <w:rPr>
                <w:lang w:val="uk-UA"/>
              </w:rPr>
              <w:t>нежитлової нерухомості</w:t>
            </w:r>
          </w:p>
        </w:tc>
        <w:tc>
          <w:tcPr>
            <w:tcW w:w="1357" w:type="pct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2FE7" w:rsidRPr="005F52F9" w:rsidTr="00F84E32">
        <w:tc>
          <w:tcPr>
            <w:tcW w:w="3643" w:type="pct"/>
            <w:vAlign w:val="center"/>
          </w:tcPr>
          <w:p w:rsidR="00C72FE7" w:rsidRPr="005F52F9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5F52F9">
              <w:rPr>
                <w:lang w:val="uk-UA"/>
              </w:rPr>
              <w:t>елігійні організації України - власники об'єктів житлової та/або нежитлової нерухомості,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</w:t>
            </w:r>
            <w:r>
              <w:rPr>
                <w:lang w:val="uk-UA"/>
              </w:rPr>
              <w:t xml:space="preserve"> /</w:t>
            </w:r>
            <w:r w:rsidRPr="005F52F9">
              <w:rPr>
                <w:lang w:val="uk-UA"/>
              </w:rPr>
              <w:t xml:space="preserve"> Об'єкти житлової та нежитлової нерухомості  </w:t>
            </w:r>
          </w:p>
        </w:tc>
        <w:tc>
          <w:tcPr>
            <w:tcW w:w="1357" w:type="pct"/>
            <w:vAlign w:val="center"/>
          </w:tcPr>
          <w:p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72FE7" w:rsidRPr="005F52F9" w:rsidRDefault="00C72FE7" w:rsidP="00C7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2F9">
        <w:rPr>
          <w:rFonts w:ascii="Times New Roman" w:hAnsi="Times New Roman" w:cs="Times New Roman"/>
          <w:sz w:val="24"/>
          <w:szCs w:val="24"/>
        </w:rPr>
        <w:t>Примітка:</w:t>
      </w:r>
    </w:p>
    <w:p w:rsidR="00C72FE7" w:rsidRPr="005F52F9" w:rsidRDefault="00C72FE7" w:rsidP="00C72FE7">
      <w:pPr>
        <w:pStyle w:val="aa"/>
        <w:spacing w:before="0" w:beforeAutospacing="0" w:after="0" w:afterAutospacing="0"/>
        <w:ind w:firstLine="708"/>
        <w:jc w:val="both"/>
        <w:rPr>
          <w:lang w:val="uk-UA"/>
        </w:rPr>
      </w:pPr>
      <w:r w:rsidRPr="005F52F9">
        <w:rPr>
          <w:lang w:val="uk-UA"/>
        </w:rPr>
        <w:t>Пільги з податку, що сплачується в місті Южноукраїнську з об'єктів житлової нерухомості, для фізичних осіб не надаються на:</w:t>
      </w:r>
    </w:p>
    <w:p w:rsidR="00C72FE7" w:rsidRPr="005F52F9" w:rsidRDefault="00C72FE7" w:rsidP="00C72FE7">
      <w:pPr>
        <w:pStyle w:val="aa"/>
        <w:spacing w:before="0" w:beforeAutospacing="0" w:after="0" w:afterAutospacing="0"/>
        <w:jc w:val="both"/>
        <w:rPr>
          <w:lang w:val="uk-UA"/>
        </w:rPr>
      </w:pPr>
      <w:r w:rsidRPr="005F52F9">
        <w:rPr>
          <w:lang w:val="uk-UA"/>
        </w:rPr>
        <w:t>об'єкт/об'єкти оподаткування, якщо площа такого/таких об'єкта/об'єктів перевищує п'ятикратний розмір неоподатковуваної площі, затвердженої рішенням Южноукраїнської міської ради;</w:t>
      </w:r>
    </w:p>
    <w:p w:rsidR="00C72FE7" w:rsidRPr="005F52F9" w:rsidRDefault="00C72FE7" w:rsidP="00C72FE7">
      <w:pPr>
        <w:pStyle w:val="aa"/>
        <w:spacing w:before="0" w:beforeAutospacing="0" w:after="0" w:afterAutospacing="0"/>
        <w:jc w:val="both"/>
        <w:rPr>
          <w:lang w:val="uk-UA"/>
        </w:rPr>
      </w:pPr>
      <w:r w:rsidRPr="005F52F9">
        <w:rPr>
          <w:lang w:val="uk-UA"/>
        </w:rPr>
        <w:t>об'єкти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C72FE7" w:rsidRPr="005F52F9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Pr="005F52F9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52F9">
        <w:rPr>
          <w:rFonts w:ascii="Times New Roman" w:hAnsi="Times New Roman" w:cs="Times New Roman"/>
          <w:noProof/>
          <w:sz w:val="24"/>
          <w:szCs w:val="24"/>
        </w:rPr>
        <w:t>Перший заступник міського голови з</w:t>
      </w:r>
    </w:p>
    <w:p w:rsidR="00C72FE7" w:rsidRPr="005F52F9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52F9">
        <w:rPr>
          <w:rFonts w:ascii="Times New Roman" w:hAnsi="Times New Roman" w:cs="Times New Roman"/>
          <w:noProof/>
          <w:sz w:val="24"/>
          <w:szCs w:val="24"/>
        </w:rPr>
        <w:t xml:space="preserve">питань діяльності виконавчих органів ради </w:t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</w:r>
      <w:r w:rsidRPr="005F52F9">
        <w:rPr>
          <w:rFonts w:ascii="Times New Roman" w:hAnsi="Times New Roman" w:cs="Times New Roman"/>
          <w:noProof/>
          <w:sz w:val="24"/>
          <w:szCs w:val="24"/>
        </w:rPr>
        <w:tab/>
        <w:t>Г.Ф. Мустяца</w:t>
      </w:r>
    </w:p>
    <w:p w:rsidR="00C72FE7" w:rsidRPr="005F52F9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FE7" w:rsidRPr="005F52F9" w:rsidRDefault="00C72FE7" w:rsidP="00C7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FE7" w:rsidRPr="005F52F9" w:rsidRDefault="00C72FE7" w:rsidP="00C7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C72FE7" w:rsidRPr="00134ADA" w:rsidRDefault="00C72FE7" w:rsidP="00C72FE7">
      <w:pPr>
        <w:rPr>
          <w:lang w:val="uk-UA"/>
        </w:rPr>
      </w:pPr>
    </w:p>
    <w:p w:rsidR="00C55169" w:rsidRDefault="00C55169" w:rsidP="00F84E32">
      <w:pPr>
        <w:ind w:right="1491"/>
        <w:jc w:val="both"/>
        <w:rPr>
          <w:sz w:val="24"/>
          <w:szCs w:val="24"/>
          <w:lang w:val="uk-UA"/>
        </w:rPr>
        <w:sectPr w:rsidR="00C55169" w:rsidSect="00F84E32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1D044A" w:rsidRPr="00E709AF" w:rsidRDefault="001D044A" w:rsidP="00072955">
      <w:pPr>
        <w:ind w:right="1491"/>
        <w:jc w:val="both"/>
        <w:rPr>
          <w:lang w:val="uk-UA"/>
        </w:rPr>
      </w:pPr>
    </w:p>
    <w:sectPr w:rsidR="001D044A" w:rsidRPr="00E709AF" w:rsidSect="00072955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7E4FAE"/>
    <w:multiLevelType w:val="hybridMultilevel"/>
    <w:tmpl w:val="7A440DE8"/>
    <w:lvl w:ilvl="0" w:tplc="0C125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FE7"/>
    <w:rsid w:val="00072955"/>
    <w:rsid w:val="000A5CFB"/>
    <w:rsid w:val="000D04C8"/>
    <w:rsid w:val="001D044A"/>
    <w:rsid w:val="0075556B"/>
    <w:rsid w:val="00B00862"/>
    <w:rsid w:val="00BC1482"/>
    <w:rsid w:val="00C55169"/>
    <w:rsid w:val="00C72FE7"/>
    <w:rsid w:val="00E15A99"/>
    <w:rsid w:val="00E709AF"/>
    <w:rsid w:val="00EE78C0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0A223CC-0483-43B8-B116-5CFE5A19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72FE7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72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2FE7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2FE7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72FE7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72FE7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7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72FE7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F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2FE7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C72FE7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C72FE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C72FE7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99"/>
    <w:qFormat/>
    <w:rsid w:val="00C72FE7"/>
    <w:pPr>
      <w:overflowPunct/>
      <w:autoSpaceDE/>
      <w:autoSpaceDN/>
      <w:adjustRightInd/>
      <w:ind w:left="720"/>
      <w:textAlignment w:val="auto"/>
    </w:pPr>
  </w:style>
  <w:style w:type="paragraph" w:styleId="a5">
    <w:name w:val="Balloon Text"/>
    <w:basedOn w:val="a"/>
    <w:link w:val="a6"/>
    <w:uiPriority w:val="99"/>
    <w:semiHidden/>
    <w:rsid w:val="00C7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азва документа"/>
    <w:basedOn w:val="a"/>
    <w:next w:val="a3"/>
    <w:uiPriority w:val="99"/>
    <w:rsid w:val="00C72FE7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8">
    <w:name w:val="Знак Знак Знак 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22"/>
    <w:qFormat/>
    <w:rsid w:val="00C72FE7"/>
    <w:rPr>
      <w:b/>
      <w:bCs/>
    </w:rPr>
  </w:style>
  <w:style w:type="character" w:customStyle="1" w:styleId="apple-converted-space">
    <w:name w:val="apple-converted-space"/>
    <w:basedOn w:val="a0"/>
    <w:uiPriority w:val="99"/>
    <w:rsid w:val="00C72FE7"/>
  </w:style>
  <w:style w:type="paragraph" w:styleId="aa">
    <w:name w:val="Normal (Web)"/>
    <w:basedOn w:val="a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rsid w:val="00C72FE7"/>
    <w:rPr>
      <w:color w:val="0000FF"/>
      <w:u w:val="single"/>
    </w:rPr>
  </w:style>
  <w:style w:type="paragraph" w:customStyle="1" w:styleId="tjbmf">
    <w:name w:val="tj bmf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FollowedHyperlink"/>
    <w:basedOn w:val="a0"/>
    <w:uiPriority w:val="99"/>
    <w:rsid w:val="00C72FE7"/>
    <w:rPr>
      <w:color w:val="800080"/>
      <w:u w:val="single"/>
    </w:rPr>
  </w:style>
  <w:style w:type="paragraph" w:customStyle="1" w:styleId="32">
    <w:name w:val="Столбец3"/>
    <w:basedOn w:val="a"/>
    <w:uiPriority w:val="99"/>
    <w:rsid w:val="00C72FE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matchword9">
    <w:name w:val="match word9"/>
    <w:basedOn w:val="a0"/>
    <w:uiPriority w:val="99"/>
    <w:rsid w:val="00C72FE7"/>
  </w:style>
  <w:style w:type="character" w:customStyle="1" w:styleId="matchword1">
    <w:name w:val="match word1"/>
    <w:basedOn w:val="a0"/>
    <w:uiPriority w:val="99"/>
    <w:rsid w:val="00C72FE7"/>
  </w:style>
  <w:style w:type="paragraph" w:customStyle="1" w:styleId="tjreflinkmrw60">
    <w:name w:val="tj reflink mr w60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chword5">
    <w:name w:val="match word5"/>
    <w:basedOn w:val="a0"/>
    <w:uiPriority w:val="99"/>
    <w:rsid w:val="00C72FE7"/>
  </w:style>
  <w:style w:type="character" w:customStyle="1" w:styleId="matchword3">
    <w:name w:val="match word3"/>
    <w:basedOn w:val="a0"/>
    <w:uiPriority w:val="99"/>
    <w:rsid w:val="00C72FE7"/>
  </w:style>
  <w:style w:type="character" w:customStyle="1" w:styleId="matchword7">
    <w:name w:val="match word7"/>
    <w:basedOn w:val="a0"/>
    <w:uiPriority w:val="99"/>
    <w:rsid w:val="00C72FE7"/>
  </w:style>
  <w:style w:type="character" w:customStyle="1" w:styleId="matchword8">
    <w:name w:val="match word8"/>
    <w:basedOn w:val="a0"/>
    <w:uiPriority w:val="99"/>
    <w:rsid w:val="00C72FE7"/>
  </w:style>
  <w:style w:type="character" w:customStyle="1" w:styleId="matchword2">
    <w:name w:val="match word2"/>
    <w:basedOn w:val="a0"/>
    <w:uiPriority w:val="99"/>
    <w:rsid w:val="00C72FE7"/>
  </w:style>
  <w:style w:type="character" w:customStyle="1" w:styleId="matchword13">
    <w:name w:val="match word13"/>
    <w:basedOn w:val="a0"/>
    <w:uiPriority w:val="99"/>
    <w:rsid w:val="00C72FE7"/>
  </w:style>
  <w:style w:type="character" w:customStyle="1" w:styleId="matchword6">
    <w:name w:val="match word6"/>
    <w:basedOn w:val="a0"/>
    <w:uiPriority w:val="99"/>
    <w:rsid w:val="00C72FE7"/>
  </w:style>
  <w:style w:type="paragraph" w:customStyle="1" w:styleId="StyleZakonu">
    <w:name w:val="StyleZakonu"/>
    <w:basedOn w:val="a"/>
    <w:link w:val="StyleZakonu0"/>
    <w:uiPriority w:val="99"/>
    <w:rsid w:val="00C72FE7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C72FE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j">
    <w:name w:val="tj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2">
    <w:name w:val="fs2"/>
    <w:basedOn w:val="a0"/>
    <w:uiPriority w:val="99"/>
    <w:rsid w:val="00C72FE7"/>
  </w:style>
  <w:style w:type="paragraph" w:customStyle="1" w:styleId="tr">
    <w:name w:val="tr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Знак Знак Знак Знак Знак Знак Знак1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1">
    <w:name w:val="Char Char21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2">
    <w:name w:val="Знак Знак1"/>
    <w:uiPriority w:val="99"/>
    <w:rsid w:val="00C72FE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rvps2">
    <w:name w:val="rvps2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46">
    <w:name w:val="rvts46"/>
    <w:uiPriority w:val="99"/>
    <w:rsid w:val="00C72FE7"/>
  </w:style>
  <w:style w:type="paragraph" w:styleId="HTML">
    <w:name w:val="HTML Preformatted"/>
    <w:basedOn w:val="a"/>
    <w:link w:val="HTML0"/>
    <w:uiPriority w:val="99"/>
    <w:rsid w:val="00C7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C72FE7"/>
    <w:rPr>
      <w:rFonts w:ascii="Courier New" w:eastAsia="Calibri" w:hAnsi="Courier New" w:cs="Courier New"/>
      <w:sz w:val="20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C72FE7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d">
    <w:name w:val="No Spacing"/>
    <w:link w:val="ae"/>
    <w:uiPriority w:val="99"/>
    <w:qFormat/>
    <w:rsid w:val="00C72FE7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C72FE7"/>
    <w:rPr>
      <w:rFonts w:ascii="Calibri" w:eastAsia="Calibri" w:hAnsi="Calibri" w:cs="Calibri"/>
      <w:lang w:val="en-US" w:eastAsia="ru-RU"/>
    </w:rPr>
  </w:style>
  <w:style w:type="paragraph" w:customStyle="1" w:styleId="af">
    <w:name w:val="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f0">
    <w:name w:val="Подпись к таблице_"/>
    <w:link w:val="af1"/>
    <w:uiPriority w:val="99"/>
    <w:locked/>
    <w:rsid w:val="00C72FE7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C72FE7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C72FE7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4">
    <w:name w:val="caption"/>
    <w:basedOn w:val="a"/>
    <w:next w:val="a"/>
    <w:uiPriority w:val="99"/>
    <w:qFormat/>
    <w:rsid w:val="00C72FE7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f5">
    <w:name w:val="Body Text Indent"/>
    <w:basedOn w:val="a"/>
    <w:link w:val="af6"/>
    <w:uiPriority w:val="99"/>
    <w:rsid w:val="00C72FE7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7">
    <w:name w:val="Block Text"/>
    <w:basedOn w:val="a"/>
    <w:uiPriority w:val="99"/>
    <w:rsid w:val="00C72FE7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f8">
    <w:name w:val="header"/>
    <w:basedOn w:val="a"/>
    <w:link w:val="af9"/>
    <w:uiPriority w:val="99"/>
    <w:rsid w:val="00C72FE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9">
    <w:name w:val="Верхний колонтитул Знак"/>
    <w:basedOn w:val="a0"/>
    <w:link w:val="af8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a">
    <w:name w:val="page number"/>
    <w:basedOn w:val="a0"/>
    <w:uiPriority w:val="99"/>
    <w:rsid w:val="00C72FE7"/>
  </w:style>
  <w:style w:type="paragraph" w:styleId="21">
    <w:name w:val="Body Text Indent 2"/>
    <w:basedOn w:val="a"/>
    <w:link w:val="22"/>
    <w:uiPriority w:val="99"/>
    <w:rsid w:val="00C72FE7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b">
    <w:name w:val="footer"/>
    <w:basedOn w:val="a"/>
    <w:link w:val="afc"/>
    <w:uiPriority w:val="99"/>
    <w:rsid w:val="00C72FE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c">
    <w:name w:val="Нижний колонтитул Знак"/>
    <w:basedOn w:val="a0"/>
    <w:link w:val="afb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C72FE7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3">
    <w:name w:val="Body Text 3"/>
    <w:basedOn w:val="a"/>
    <w:link w:val="34"/>
    <w:uiPriority w:val="99"/>
    <w:rsid w:val="00C72FE7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C72FE7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fd">
    <w:name w:val="Title"/>
    <w:basedOn w:val="a"/>
    <w:link w:val="afe"/>
    <w:uiPriority w:val="99"/>
    <w:qFormat/>
    <w:rsid w:val="00C72F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e">
    <w:name w:val="Название Знак"/>
    <w:basedOn w:val="a0"/>
    <w:link w:val="afd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5">
    <w:name w:val="Body Text Indent 3"/>
    <w:basedOn w:val="a"/>
    <w:link w:val="36"/>
    <w:uiPriority w:val="99"/>
    <w:rsid w:val="00C72FE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72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C72FE7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C72F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72FE7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f0">
    <w:name w:val="Шапка документу"/>
    <w:basedOn w:val="a"/>
    <w:uiPriority w:val="99"/>
    <w:rsid w:val="00C72FE7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character" w:customStyle="1" w:styleId="FontStyle14">
    <w:name w:val="Font Style14"/>
    <w:uiPriority w:val="99"/>
    <w:rsid w:val="00C72FE7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uiPriority w:val="99"/>
    <w:rsid w:val="00C72FE7"/>
  </w:style>
  <w:style w:type="character" w:customStyle="1" w:styleId="rvts23">
    <w:name w:val="rvts23"/>
    <w:uiPriority w:val="99"/>
    <w:rsid w:val="00C72FE7"/>
  </w:style>
  <w:style w:type="character" w:customStyle="1" w:styleId="25">
    <w:name w:val="Основной текст (2) + Не полужирный"/>
    <w:uiPriority w:val="99"/>
    <w:rsid w:val="00C72F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Основной текст Знак1"/>
    <w:uiPriority w:val="99"/>
    <w:locked/>
    <w:rsid w:val="00C72FE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C72FE7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C72FE7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Стиль2"/>
    <w:uiPriority w:val="99"/>
    <w:rsid w:val="00C72FE7"/>
  </w:style>
  <w:style w:type="paragraph" w:customStyle="1" w:styleId="tc">
    <w:name w:val="tc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C72FE7"/>
  </w:style>
  <w:style w:type="character" w:customStyle="1" w:styleId="rvts0">
    <w:name w:val="rvts0"/>
    <w:uiPriority w:val="99"/>
    <w:rsid w:val="00C72FE7"/>
  </w:style>
  <w:style w:type="character" w:styleId="aff1">
    <w:name w:val="Emphasis"/>
    <w:basedOn w:val="a0"/>
    <w:uiPriority w:val="99"/>
    <w:qFormat/>
    <w:rsid w:val="00C72FE7"/>
    <w:rPr>
      <w:i/>
      <w:iCs/>
    </w:rPr>
  </w:style>
  <w:style w:type="paragraph" w:customStyle="1" w:styleId="rvps12">
    <w:name w:val="rvps12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C72FE7"/>
  </w:style>
  <w:style w:type="paragraph" w:customStyle="1" w:styleId="aff2">
    <w:name w:val="_ДЛЯ ШАПКИ ТАБЛИЦЫ"/>
    <w:basedOn w:val="afd"/>
    <w:uiPriority w:val="99"/>
    <w:rsid w:val="00C72FE7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character" w:customStyle="1" w:styleId="mn">
    <w:name w:val="mn"/>
    <w:basedOn w:val="a0"/>
    <w:uiPriority w:val="99"/>
    <w:rsid w:val="00C72FE7"/>
  </w:style>
  <w:style w:type="paragraph" w:customStyle="1" w:styleId="120">
    <w:name w:val="Обычный +12 пт"/>
    <w:aliases w:val="Черный"/>
    <w:basedOn w:val="a"/>
    <w:rsid w:val="00C72FE7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11454</Words>
  <Characters>6529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Momotova</cp:lastModifiedBy>
  <cp:revision>7</cp:revision>
  <cp:lastPrinted>2020-04-10T11:23:00Z</cp:lastPrinted>
  <dcterms:created xsi:type="dcterms:W3CDTF">2020-04-02T11:49:00Z</dcterms:created>
  <dcterms:modified xsi:type="dcterms:W3CDTF">2020-06-30T12:26:00Z</dcterms:modified>
</cp:coreProperties>
</file>